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32C0B">
      <w:pPr>
        <w:pStyle w:val="4"/>
        <w:jc w:val="center"/>
        <w:outlineLvl w:val="1"/>
        <w:rPr>
          <w:rFonts w:hint="eastAsia" w:ascii="仿宋_GB2312" w:hAnsi="仿宋_GB2312" w:eastAsia="仿宋_GB2312" w:cs="仿宋_GB2312"/>
          <w:b/>
          <w:sz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6"/>
          <w:lang w:val="en-US" w:eastAsia="zh-CN"/>
        </w:rPr>
        <w:t>采购需求</w:t>
      </w:r>
    </w:p>
    <w:p w14:paraId="21779BE5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</w:t>
      </w:r>
    </w:p>
    <w:p w14:paraId="5BB0ED34">
      <w:pPr>
        <w:ind w:firstLine="643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邑县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疾病预防控制中心消防控制室值班值守服务采购项目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374FE953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项目地点：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成都市大邑县雪山大道二段1118号；</w:t>
      </w:r>
    </w:p>
    <w:p w14:paraId="6A690209">
      <w:pPr>
        <w:ind w:firstLine="643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项目概况：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办公楼建筑面积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约8300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平方米。地上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层，包含办公、会议、停车场等多种功能区域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2FEEE5B0">
      <w:pPr>
        <w:pStyle w:val="4"/>
        <w:ind w:firstLine="643" w:firstLineChars="200"/>
        <w:jc w:val="left"/>
        <w:rPr>
          <w:rFonts w:hint="eastAsia" w:ascii="仿宋_GB2312" w:hAnsi="仿宋_GB2312" w:eastAsia="仿宋_GB2312" w:cs="仿宋_GB2312"/>
          <w:b/>
          <w:sz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服务内容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</w:p>
    <w:p w14:paraId="3D427CCC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1.消控操作员需持证上岗，24小时值守监控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室，密切监控消防控制系统和视频监控系统的运行情况，及时发现和处理各类异常情况；</w:t>
      </w:r>
    </w:p>
    <w:p w14:paraId="3017E978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2.当消防主机发出火警、故障、屏蔽等报警信号时，立即核实情况，并严格按照规程进行处理；</w:t>
      </w:r>
    </w:p>
    <w:p w14:paraId="7D5AF8E6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3.准确、规范地填写《消防控制室值班记录表》，详细记录设备运行、报警处理、交接班等情况，确保信息传递无误；</w:t>
      </w:r>
    </w:p>
    <w:p w14:paraId="043B2005">
      <w:pPr>
        <w:pStyle w:val="4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.定期对火灾自动报警系统、自动喷水灭火系统、消火栓系统、防排烟系统、应急照明和疏散指示标志等关键消防设施进行外观和功能检查；定期进行巡查，范围包括中心新实验大楼、老办公楼及中心食堂，关键点位每3小时巡查一次，同时应拍照留证，如地埋式消防水池泵房、屋顶消防水箱、柴发机房、配电室等。</w:t>
      </w:r>
    </w:p>
    <w:p w14:paraId="15CDD1C5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5.按计划对消防设备进行功能测试，如测试烟感/温感探测器、手动报警按钮、声光报警器等是否正常工作；</w:t>
      </w:r>
    </w:p>
    <w:p w14:paraId="525ACFB7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6.熟练操作消防控制室内的所有控制设备，如报警控制器、联动控制器、消防电话总机、应急广播系统等；</w:t>
      </w:r>
    </w:p>
    <w:p w14:paraId="27F7ECE5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7.在确认火情或进行测试时，能按规程启动或停止消防泵、喷淋泵、防排烟风机、防火卷帘等消防设施；</w:t>
      </w:r>
    </w:p>
    <w:p w14:paraId="4A77882C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8.一旦确认发生真实火情，立即启动应急预案，拨打“119”火警电话报警，并及时报告。同时迅速启动消防应急广播，通知人员疏散，并根据火情启动相应的消防联动设备。在确保自身安全的前提下，利用灭火器、消火栓等器材进行初期火灾扑救；</w:t>
      </w:r>
    </w:p>
    <w:p w14:paraId="00CE1134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9.在巡检或操作中发现消防设施存在故障或损坏时，立即报告，并协助联系维保单位进行维修；</w:t>
      </w:r>
    </w:p>
    <w:p w14:paraId="04EC379F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10.定期开展消防安全宣传教育活动，通过张贴消防安全标语、发放消防安全宣传资料、组织消防安全知识培训等方式，提高中心工作人员的消防安全意识和自防自救能力；</w:t>
      </w:r>
    </w:p>
    <w:p w14:paraId="361702CB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（五）服务时间：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三年，合同一年一签；</w:t>
      </w:r>
    </w:p>
    <w:p w14:paraId="69AC1D22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报价要求</w:t>
      </w:r>
    </w:p>
    <w:p w14:paraId="5C4A38D1">
      <w:pPr>
        <w:pStyle w:val="4"/>
        <w:ind w:firstLine="640" w:firstLineChars="20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报价应包括本项目所有服务内容，具体包含：①员工工资（包含基本工资及加班工资）；②社会保险；③法定计提费用（包含教育经费、工会会费、残疾人就业保障金）；④服装费；⑤行政办公费；⑥企业管理费；⑦企业合理利润；⑧税金一切费用等。</w:t>
      </w:r>
    </w:p>
    <w:p w14:paraId="2667BA7F">
      <w:pPr>
        <w:pStyle w:val="4"/>
        <w:ind w:firstLine="420"/>
        <w:jc w:val="lef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报价人应将上述费用逐一计入报价，且各项报价应符合政府采购及国家相关政策规定。除上述费用外，如供应商在实际履约中还需要缴纳其他费用的，供应商应当自行妥善考虑相关经营成本，不得因此影响本项目履行或额外增加合同金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70F99"/>
    <w:rsid w:val="1A5D6D1C"/>
    <w:rsid w:val="2CD25CDC"/>
    <w:rsid w:val="54BC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797</Words>
  <Characters>811</Characters>
  <Lines>0</Lines>
  <Paragraphs>0</Paragraphs>
  <TotalTime>2</TotalTime>
  <ScaleCrop>false</ScaleCrop>
  <LinksUpToDate>false</LinksUpToDate>
  <CharactersWithSpaces>811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2026-08-04T02:17:00Z</dcterms:created>
  <dc:creator>Administrator</dc:creator>
  <cp:lastModifiedBy>WPS_1783403901</cp:lastModifiedBy>
  <dcterms:modified xsi:type="dcterms:W3CDTF">2026-08-06T08:46:26Z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eyJoZGlkIjoiYmE1M2QxZGY3ZDBlZWI4MzgwODliMjA3OWUyZWM3MmIiLCJ1c2VySWQiOiIxODY3MjUwMTMyIn0=</vt:lpwstr>
  </property>
  <property fmtid="{D5CDD505-2E9C-101B-9397-08002B2CF9AE}" pid="4" name="ICV">
    <vt:lpwstr>F549F9303A5646709F95778B4BBFA39D_13</vt:lpwstr>
  </property>
</Properties>
</file>