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DBA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1365"/>
        </w:tabs>
        <w:kinsoku/>
        <w:wordWrap/>
        <w:overflowPunct/>
        <w:topLinePunct w:val="0"/>
        <w:autoSpaceDE/>
        <w:autoSpaceDN/>
        <w:bidi w:val="0"/>
        <w:adjustRightInd/>
        <w:snapToGrid/>
        <w:spacing w:before="0" w:beforeAutospacing="0" w:after="135" w:afterAutospacing="0" w:line="560" w:lineRule="exact"/>
        <w:ind w:right="0" w:firstLine="640" w:firstLineChars="200"/>
        <w:jc w:val="left"/>
        <w:textAlignment w:val="auto"/>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pPr>
      <w:r>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t>附件1</w:t>
      </w:r>
    </w:p>
    <w:p w14:paraId="54D549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1365"/>
        </w:tabs>
        <w:kinsoku/>
        <w:wordWrap/>
        <w:overflowPunct/>
        <w:topLinePunct w:val="0"/>
        <w:autoSpaceDE/>
        <w:autoSpaceDN/>
        <w:bidi w:val="0"/>
        <w:adjustRightInd/>
        <w:snapToGrid/>
        <w:spacing w:before="0" w:beforeAutospacing="0" w:after="135" w:afterAutospacing="0" w:line="560" w:lineRule="exact"/>
        <w:ind w:right="0" w:firstLine="640" w:firstLineChars="200"/>
        <w:jc w:val="center"/>
        <w:textAlignment w:val="auto"/>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pPr>
      <w:bookmarkStart w:id="0" w:name="_GoBack"/>
      <w:r>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t>2026年职业病检测与帮扶项目需求表(汇总）</w:t>
      </w:r>
    </w:p>
    <w:bookmarkEnd w:id="0"/>
    <w:tbl>
      <w:tblPr>
        <w:tblStyle w:val="3"/>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3"/>
        <w:gridCol w:w="1098"/>
        <w:gridCol w:w="5357"/>
        <w:gridCol w:w="1192"/>
      </w:tblGrid>
      <w:tr w14:paraId="4FA4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12" w:type="pct"/>
            <w:tcBorders>
              <w:top w:val="single" w:color="000000" w:sz="4" w:space="0"/>
              <w:left w:val="single" w:color="000000" w:sz="4" w:space="0"/>
              <w:bottom w:val="single" w:color="000000" w:sz="4" w:space="0"/>
              <w:right w:val="single" w:color="000000" w:sz="4" w:space="0"/>
            </w:tcBorders>
            <w:noWrap w:val="0"/>
            <w:vAlign w:val="center"/>
          </w:tcPr>
          <w:p w14:paraId="670B68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7C193A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w:t>
            </w:r>
          </w:p>
        </w:tc>
        <w:tc>
          <w:tcPr>
            <w:tcW w:w="3142" w:type="pct"/>
            <w:tcBorders>
              <w:top w:val="single" w:color="000000" w:sz="4" w:space="0"/>
              <w:left w:val="single" w:color="000000" w:sz="4" w:space="0"/>
              <w:bottom w:val="single" w:color="000000" w:sz="4" w:space="0"/>
              <w:right w:val="single" w:color="000000" w:sz="4" w:space="0"/>
            </w:tcBorders>
            <w:noWrap w:val="0"/>
            <w:vAlign w:val="center"/>
          </w:tcPr>
          <w:p w14:paraId="110549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内容</w:t>
            </w:r>
          </w:p>
        </w:tc>
        <w:tc>
          <w:tcPr>
            <w:tcW w:w="699" w:type="pct"/>
            <w:tcBorders>
              <w:top w:val="single" w:color="000000" w:sz="4" w:space="0"/>
              <w:left w:val="single" w:color="000000" w:sz="4" w:space="0"/>
              <w:bottom w:val="single" w:color="000000" w:sz="4" w:space="0"/>
              <w:right w:val="single" w:color="000000" w:sz="4" w:space="0"/>
            </w:tcBorders>
            <w:noWrap w:val="0"/>
            <w:vAlign w:val="center"/>
          </w:tcPr>
          <w:p w14:paraId="0400C6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数量（家/样）</w:t>
            </w:r>
          </w:p>
        </w:tc>
      </w:tr>
      <w:tr w14:paraId="53D5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trPr>
        <w:tc>
          <w:tcPr>
            <w:tcW w:w="512" w:type="pct"/>
            <w:tcBorders>
              <w:top w:val="single" w:color="000000" w:sz="4" w:space="0"/>
              <w:left w:val="single" w:color="000000" w:sz="4" w:space="0"/>
              <w:bottom w:val="single" w:color="000000" w:sz="4" w:space="0"/>
              <w:right w:val="single" w:color="000000" w:sz="4" w:space="0"/>
            </w:tcBorders>
            <w:noWrap w:val="0"/>
            <w:vAlign w:val="center"/>
          </w:tcPr>
          <w:p w14:paraId="2209F43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671D1BB3">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Style w:val="5"/>
                <w:rFonts w:hint="eastAsia" w:hAnsi="宋体"/>
                <w:i w:val="0"/>
                <w:iCs w:val="0"/>
                <w:color w:val="auto"/>
                <w:lang w:val="en-US" w:eastAsia="zh-CN" w:bidi="ar"/>
              </w:rPr>
              <w:t>中小微企业帮扶服务</w:t>
            </w:r>
          </w:p>
        </w:tc>
        <w:tc>
          <w:tcPr>
            <w:tcW w:w="3142" w:type="pct"/>
            <w:tcBorders>
              <w:top w:val="single" w:color="000000" w:sz="4" w:space="0"/>
              <w:left w:val="single" w:color="000000" w:sz="4" w:space="0"/>
              <w:bottom w:val="single" w:color="000000" w:sz="4" w:space="0"/>
              <w:right w:val="single" w:color="000000" w:sz="4" w:space="0"/>
            </w:tcBorders>
            <w:noWrap w:val="0"/>
            <w:vAlign w:val="center"/>
          </w:tcPr>
          <w:p w14:paraId="260EBAAE">
            <w:pPr>
              <w:keepNext w:val="0"/>
              <w:keepLines w:val="0"/>
              <w:widowControl/>
              <w:suppressLineNumbers w:val="0"/>
              <w:jc w:val="left"/>
              <w:textAlignment w:val="center"/>
              <w:rPr>
                <w:rFonts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指导企业建立完善《中华人民共和国职业病防治法》《工作场所职业卫生管理规定》等要求的</w:t>
            </w:r>
            <w:r>
              <w:rPr>
                <w:rStyle w:val="6"/>
                <w:rFonts w:hAnsi="宋体"/>
                <w:color w:val="auto"/>
                <w:lang w:val="en-US" w:eastAsia="zh-CN" w:bidi="ar"/>
              </w:rPr>
              <w:t>相关管理制度</w:t>
            </w:r>
            <w:r>
              <w:rPr>
                <w:rStyle w:val="5"/>
                <w:rFonts w:hAnsi="宋体"/>
                <w:color w:val="auto"/>
                <w:lang w:val="en-US" w:eastAsia="zh-CN" w:bidi="ar"/>
              </w:rPr>
              <w:t>；按照《国家卫生健康委办公厅关于进一步加强用人单位职业健康培训工作的通知》（国卫办职健函〔</w:t>
            </w:r>
            <w:r>
              <w:rPr>
                <w:rStyle w:val="7"/>
                <w:rFonts w:eastAsia="仿宋_GB2312"/>
                <w:color w:val="auto"/>
                <w:lang w:val="en-US" w:eastAsia="zh-CN" w:bidi="ar"/>
              </w:rPr>
              <w:t>2022</w:t>
            </w:r>
            <w:r>
              <w:rPr>
                <w:rStyle w:val="5"/>
                <w:rFonts w:hAnsi="宋体"/>
                <w:color w:val="auto"/>
                <w:lang w:val="en-US" w:eastAsia="zh-CN" w:bidi="ar"/>
              </w:rPr>
              <w:t>〕</w:t>
            </w:r>
            <w:r>
              <w:rPr>
                <w:rStyle w:val="7"/>
                <w:rFonts w:eastAsia="仿宋_GB2312"/>
                <w:color w:val="auto"/>
                <w:lang w:val="en-US" w:eastAsia="zh-CN" w:bidi="ar"/>
              </w:rPr>
              <w:t>441</w:t>
            </w:r>
            <w:r>
              <w:rPr>
                <w:rStyle w:val="5"/>
                <w:rFonts w:hAnsi="宋体"/>
                <w:color w:val="auto"/>
                <w:lang w:val="en-US" w:eastAsia="zh-CN" w:bidi="ar"/>
              </w:rPr>
              <w:t>号）要求和《用人单位职业健康培训大纲》，帮助企业开展主要负责人、职业健康管理人员、劳动者</w:t>
            </w:r>
            <w:r>
              <w:rPr>
                <w:rStyle w:val="6"/>
                <w:rFonts w:hAnsi="宋体"/>
                <w:color w:val="auto"/>
                <w:lang w:val="en-US" w:eastAsia="zh-CN" w:bidi="ar"/>
              </w:rPr>
              <w:t>职业健康培训</w:t>
            </w:r>
            <w:r>
              <w:rPr>
                <w:rStyle w:val="5"/>
                <w:rFonts w:hAnsi="宋体"/>
                <w:color w:val="auto"/>
                <w:lang w:val="en-US" w:eastAsia="zh-CN" w:bidi="ar"/>
              </w:rPr>
              <w:t>；按照《用人单位职业健康监护监督管理办法》要求，指导帮助企业完善职业健康检查</w:t>
            </w:r>
            <w:r>
              <w:rPr>
                <w:rStyle w:val="6"/>
                <w:rFonts w:hAnsi="宋体"/>
                <w:color w:val="auto"/>
                <w:lang w:val="en-US" w:eastAsia="zh-CN" w:bidi="ar"/>
              </w:rPr>
              <w:t>监护档案</w:t>
            </w:r>
            <w:r>
              <w:rPr>
                <w:rStyle w:val="5"/>
                <w:rFonts w:hAnsi="宋体"/>
                <w:color w:val="auto"/>
                <w:lang w:val="en-US" w:eastAsia="zh-CN" w:bidi="ar"/>
              </w:rPr>
              <w:t>；根据工作场所职业病危害因素种类、性质、接触方式等，提出合理配置</w:t>
            </w:r>
            <w:r>
              <w:rPr>
                <w:rStyle w:val="6"/>
                <w:rFonts w:hAnsi="宋体"/>
                <w:color w:val="auto"/>
                <w:lang w:val="en-US" w:eastAsia="zh-CN" w:bidi="ar"/>
              </w:rPr>
              <w:t>个体防护用品的建议</w:t>
            </w:r>
            <w:r>
              <w:rPr>
                <w:rStyle w:val="5"/>
                <w:rFonts w:hAnsi="宋体"/>
                <w:color w:val="auto"/>
                <w:lang w:val="en-US" w:eastAsia="zh-CN" w:bidi="ar"/>
              </w:rPr>
              <w:t>；针对职业病危害因素超标岗位，指导企业做好</w:t>
            </w:r>
            <w:r>
              <w:rPr>
                <w:rStyle w:val="6"/>
                <w:rFonts w:hAnsi="宋体"/>
                <w:color w:val="auto"/>
                <w:lang w:val="en-US" w:eastAsia="zh-CN" w:bidi="ar"/>
              </w:rPr>
              <w:t>超标岗位整改治理</w:t>
            </w:r>
            <w:r>
              <w:rPr>
                <w:rStyle w:val="5"/>
                <w:rFonts w:hAnsi="宋体"/>
                <w:color w:val="auto"/>
                <w:lang w:val="en-US" w:eastAsia="zh-CN" w:bidi="ar"/>
              </w:rPr>
              <w:t>等工作。</w:t>
            </w:r>
          </w:p>
        </w:tc>
        <w:tc>
          <w:tcPr>
            <w:tcW w:w="699" w:type="pct"/>
            <w:tcBorders>
              <w:top w:val="single" w:color="000000" w:sz="4" w:space="0"/>
              <w:left w:val="single" w:color="000000" w:sz="4" w:space="0"/>
              <w:bottom w:val="single" w:color="000000" w:sz="4" w:space="0"/>
              <w:right w:val="single" w:color="000000" w:sz="4" w:space="0"/>
            </w:tcBorders>
            <w:noWrap w:val="0"/>
            <w:vAlign w:val="center"/>
          </w:tcPr>
          <w:p w14:paraId="31F0EF2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26</w:t>
            </w:r>
          </w:p>
        </w:tc>
      </w:tr>
      <w:tr w14:paraId="6F10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2" w:type="pct"/>
            <w:tcBorders>
              <w:top w:val="single" w:color="000000" w:sz="4" w:space="0"/>
              <w:left w:val="single" w:color="000000" w:sz="4" w:space="0"/>
              <w:bottom w:val="single" w:color="000000" w:sz="4" w:space="0"/>
              <w:right w:val="single" w:color="000000" w:sz="4" w:space="0"/>
            </w:tcBorders>
            <w:noWrap w:val="0"/>
            <w:vAlign w:val="center"/>
          </w:tcPr>
          <w:p w14:paraId="7FC73DF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0B54A5C5">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Style w:val="5"/>
                <w:rFonts w:hint="eastAsia" w:hAnsi="宋体"/>
                <w:i w:val="0"/>
                <w:iCs w:val="0"/>
                <w:color w:val="auto"/>
                <w:lang w:val="en-US" w:eastAsia="zh-CN" w:bidi="ar"/>
              </w:rPr>
              <w:t>职业病危害因素检测</w:t>
            </w:r>
          </w:p>
        </w:tc>
        <w:tc>
          <w:tcPr>
            <w:tcW w:w="3142" w:type="pct"/>
            <w:tcBorders>
              <w:top w:val="single" w:color="000000" w:sz="4" w:space="0"/>
              <w:left w:val="single" w:color="000000" w:sz="4" w:space="0"/>
              <w:bottom w:val="single" w:color="000000" w:sz="4" w:space="0"/>
              <w:right w:val="single" w:color="000000" w:sz="4" w:space="0"/>
            </w:tcBorders>
            <w:noWrap w:val="0"/>
            <w:vAlign w:val="center"/>
          </w:tcPr>
          <w:p w14:paraId="1BC67D6B">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冶金、建材、化工、船舶制造、纺织、建筑用石加工、铅酸蓄电池制造等以及新能源、新材料、高端装备制造等新兴行业企业的定期检测。</w:t>
            </w:r>
          </w:p>
        </w:tc>
        <w:tc>
          <w:tcPr>
            <w:tcW w:w="699" w:type="pct"/>
            <w:tcBorders>
              <w:top w:val="single" w:color="000000" w:sz="4" w:space="0"/>
              <w:left w:val="single" w:color="000000" w:sz="4" w:space="0"/>
              <w:bottom w:val="single" w:color="000000" w:sz="4" w:space="0"/>
              <w:right w:val="single" w:color="000000" w:sz="4" w:space="0"/>
            </w:tcBorders>
            <w:noWrap w:val="0"/>
            <w:vAlign w:val="center"/>
          </w:tcPr>
          <w:p w14:paraId="5C1E6D8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w:t>
            </w:r>
          </w:p>
        </w:tc>
      </w:tr>
      <w:tr w14:paraId="1B586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2" w:type="pct"/>
            <w:tcBorders>
              <w:top w:val="single" w:color="000000" w:sz="4" w:space="0"/>
              <w:left w:val="single" w:color="000000" w:sz="4" w:space="0"/>
              <w:bottom w:val="single" w:color="000000" w:sz="4" w:space="0"/>
              <w:right w:val="single" w:color="000000" w:sz="4" w:space="0"/>
            </w:tcBorders>
            <w:noWrap w:val="0"/>
            <w:vAlign w:val="center"/>
          </w:tcPr>
          <w:p w14:paraId="3BFFCB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cs="Times New Roman"/>
                <w:i w:val="0"/>
                <w:iCs w:val="0"/>
                <w:color w:val="auto"/>
                <w:kern w:val="0"/>
                <w:sz w:val="24"/>
                <w:szCs w:val="24"/>
                <w:u w:val="none"/>
                <w:lang w:val="en-US" w:eastAsia="zh-CN" w:bidi="ar"/>
              </w:rPr>
              <w:t>3</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626DD625">
            <w:pPr>
              <w:keepNext w:val="0"/>
              <w:keepLines w:val="0"/>
              <w:widowControl/>
              <w:suppressLineNumbers w:val="0"/>
              <w:jc w:val="left"/>
              <w:textAlignment w:val="center"/>
              <w:rPr>
                <w:rStyle w:val="5"/>
                <w:rFonts w:hint="default" w:hAnsi="宋体"/>
                <w:i w:val="0"/>
                <w:iCs w:val="0"/>
                <w:color w:val="auto"/>
                <w:lang w:val="en-US" w:eastAsia="zh-CN" w:bidi="ar"/>
              </w:rPr>
            </w:pPr>
            <w:r>
              <w:rPr>
                <w:rStyle w:val="5"/>
                <w:rFonts w:hint="eastAsia" w:hAnsi="宋体"/>
                <w:i w:val="0"/>
                <w:iCs w:val="0"/>
                <w:color w:val="auto"/>
                <w:lang w:val="en-US" w:eastAsia="zh-CN" w:bidi="ar"/>
              </w:rPr>
              <w:t>健康企业创建</w:t>
            </w:r>
          </w:p>
        </w:tc>
        <w:tc>
          <w:tcPr>
            <w:tcW w:w="3142" w:type="pct"/>
            <w:tcBorders>
              <w:top w:val="single" w:color="000000" w:sz="4" w:space="0"/>
              <w:left w:val="single" w:color="000000" w:sz="4" w:space="0"/>
              <w:bottom w:val="single" w:color="000000" w:sz="4" w:space="0"/>
              <w:right w:val="single" w:color="000000" w:sz="4" w:space="0"/>
            </w:tcBorders>
            <w:noWrap w:val="0"/>
            <w:vAlign w:val="center"/>
          </w:tcPr>
          <w:p w14:paraId="021A5D54">
            <w:pPr>
              <w:keepNext w:val="0"/>
              <w:keepLines w:val="0"/>
              <w:widowControl/>
              <w:suppressLineNumbers w:val="0"/>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指导一家企业成功创建市级健康企业</w:t>
            </w:r>
          </w:p>
        </w:tc>
        <w:tc>
          <w:tcPr>
            <w:tcW w:w="699" w:type="pct"/>
            <w:tcBorders>
              <w:top w:val="single" w:color="000000" w:sz="4" w:space="0"/>
              <w:left w:val="single" w:color="000000" w:sz="4" w:space="0"/>
              <w:bottom w:val="single" w:color="000000" w:sz="4" w:space="0"/>
              <w:right w:val="single" w:color="000000" w:sz="4" w:space="0"/>
            </w:tcBorders>
            <w:noWrap w:val="0"/>
            <w:vAlign w:val="center"/>
          </w:tcPr>
          <w:p w14:paraId="3977CA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cs="Times New Roman"/>
                <w:i w:val="0"/>
                <w:iCs w:val="0"/>
                <w:color w:val="auto"/>
                <w:kern w:val="0"/>
                <w:sz w:val="24"/>
                <w:szCs w:val="24"/>
                <w:u w:val="none"/>
                <w:lang w:val="en-US" w:eastAsia="zh-CN" w:bidi="ar"/>
              </w:rPr>
              <w:t>1</w:t>
            </w:r>
          </w:p>
        </w:tc>
      </w:tr>
    </w:tbl>
    <w:p w14:paraId="683D56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E0396"/>
    <w:rsid w:val="0C3E0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31"/>
    <w:basedOn w:val="4"/>
    <w:qFormat/>
    <w:uiPriority w:val="0"/>
    <w:rPr>
      <w:rFonts w:hint="eastAsia" w:ascii="仿宋_GB2312" w:eastAsia="仿宋_GB2312" w:cs="仿宋_GB2312"/>
      <w:color w:val="000000"/>
      <w:sz w:val="24"/>
      <w:szCs w:val="24"/>
      <w:u w:val="none"/>
    </w:rPr>
  </w:style>
  <w:style w:type="character" w:customStyle="1" w:styleId="6">
    <w:name w:val="font41"/>
    <w:basedOn w:val="4"/>
    <w:qFormat/>
    <w:uiPriority w:val="0"/>
    <w:rPr>
      <w:rFonts w:hint="eastAsia" w:ascii="仿宋_GB2312" w:eastAsia="仿宋_GB2312" w:cs="仿宋_GB2312"/>
      <w:b/>
      <w:bCs/>
      <w:color w:val="000000"/>
      <w:sz w:val="24"/>
      <w:szCs w:val="24"/>
      <w:u w:val="none"/>
    </w:rPr>
  </w:style>
  <w:style w:type="character" w:customStyle="1" w:styleId="7">
    <w:name w:val="font51"/>
    <w:basedOn w:val="4"/>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2026-07-09T08:08:00Z</dcterms:created>
  <dc:creator>Administrator</dc:creator>
  <cp:lastModifiedBy>Administrator</cp:lastModifiedBy>
  <dcterms:modified xsi:type="dcterms:W3CDTF">2026-07-09T08:08:56Z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FDF32FCEF4754CD59DC8EC99C07F7A25_11</vt:lpwstr>
  </property>
  <property fmtid="{D5CDD505-2E9C-101B-9397-08002B2CF9AE}" pid="4" name="KSOTemplateDocerSaveRecord">
    <vt:lpwstr>eyJoZGlkIjoiMmJmZTM5NGNkMjZmODc2Mzg1ZWQ0MDA5YTQ5ZDgzOGYifQ==</vt:lpwstr>
  </property>
</Properties>
</file>